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91C7" w14:textId="49A1C744" w:rsidR="00757C36" w:rsidRPr="003402CE" w:rsidRDefault="00757C36" w:rsidP="003402CE">
      <w:pPr>
        <w:jc w:val="center"/>
        <w:rPr>
          <w:b/>
          <w:bCs/>
          <w:color w:val="156082" w:themeColor="accent1"/>
          <w:sz w:val="40"/>
          <w:szCs w:val="40"/>
          <w:lang w:val="en-NZ"/>
        </w:rPr>
      </w:pPr>
      <w:r w:rsidRPr="003402CE">
        <w:rPr>
          <w:b/>
          <w:bCs/>
          <w:color w:val="156082" w:themeColor="accent1"/>
          <w:sz w:val="40"/>
          <w:szCs w:val="40"/>
          <w:lang w:val="en-NZ"/>
        </w:rPr>
        <w:t>FERRY ROAD MEDICAL CENTRE</w:t>
      </w:r>
      <w:r w:rsidR="00BA451A" w:rsidRPr="003402CE">
        <w:rPr>
          <w:b/>
          <w:bCs/>
          <w:color w:val="156082" w:themeColor="accent1"/>
          <w:sz w:val="40"/>
          <w:szCs w:val="40"/>
          <w:lang w:val="en-NZ"/>
        </w:rPr>
        <w:t xml:space="preserve"> - </w:t>
      </w:r>
      <w:r w:rsidRPr="003402CE">
        <w:rPr>
          <w:b/>
          <w:bCs/>
          <w:color w:val="156082" w:themeColor="accent1"/>
          <w:sz w:val="40"/>
          <w:szCs w:val="40"/>
          <w:lang w:val="en-NZ"/>
        </w:rPr>
        <w:t>PATIENT FEES</w:t>
      </w:r>
    </w:p>
    <w:p w14:paraId="43AE0574" w14:textId="02EBE36D" w:rsidR="00E83A18" w:rsidRPr="003402CE" w:rsidRDefault="003402CE" w:rsidP="003402CE">
      <w:pPr>
        <w:jc w:val="center"/>
        <w:rPr>
          <w:color w:val="156082" w:themeColor="accent1"/>
          <w:sz w:val="24"/>
          <w:szCs w:val="24"/>
          <w:lang w:val="en-NZ"/>
        </w:rPr>
      </w:pPr>
      <w:r>
        <w:rPr>
          <w:b/>
          <w:bCs/>
          <w:color w:val="156082" w:themeColor="accent1"/>
          <w:sz w:val="24"/>
          <w:szCs w:val="24"/>
          <w:lang w:val="en-NZ"/>
        </w:rPr>
        <w:t>FEE INCREASE</w:t>
      </w:r>
      <w:r w:rsidR="00E83A18" w:rsidRPr="003402CE">
        <w:rPr>
          <w:b/>
          <w:bCs/>
          <w:color w:val="156082" w:themeColor="accent1"/>
          <w:sz w:val="24"/>
          <w:szCs w:val="24"/>
          <w:lang w:val="en-NZ"/>
        </w:rPr>
        <w:t xml:space="preserve"> 10 June 2024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5949"/>
        <w:gridCol w:w="1984"/>
      </w:tblGrid>
      <w:tr w:rsidR="003402CE" w:rsidRPr="003402CE" w14:paraId="77AD57B6" w14:textId="77777777" w:rsidTr="003402CE">
        <w:tc>
          <w:tcPr>
            <w:tcW w:w="2410" w:type="dxa"/>
          </w:tcPr>
          <w:p w14:paraId="2A7AAB2B" w14:textId="50F9AFCF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>Under 14 years</w:t>
            </w:r>
          </w:p>
        </w:tc>
        <w:tc>
          <w:tcPr>
            <w:tcW w:w="5949" w:type="dxa"/>
          </w:tcPr>
          <w:p w14:paraId="3F0551A9" w14:textId="5D58ADD1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</w:t>
            </w:r>
          </w:p>
        </w:tc>
        <w:tc>
          <w:tcPr>
            <w:tcW w:w="1984" w:type="dxa"/>
          </w:tcPr>
          <w:p w14:paraId="4A1A8D58" w14:textId="0FC15710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 charge</w:t>
            </w:r>
          </w:p>
        </w:tc>
      </w:tr>
      <w:tr w:rsidR="003402CE" w:rsidRPr="003402CE" w14:paraId="5B9A4488" w14:textId="77777777" w:rsidTr="003402CE">
        <w:tc>
          <w:tcPr>
            <w:tcW w:w="2410" w:type="dxa"/>
          </w:tcPr>
          <w:p w14:paraId="500ACCCA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495F3BF9" w14:textId="150D8548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with CSC </w:t>
            </w:r>
          </w:p>
        </w:tc>
        <w:tc>
          <w:tcPr>
            <w:tcW w:w="1984" w:type="dxa"/>
          </w:tcPr>
          <w:p w14:paraId="658C8A15" w14:textId="557BB445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$19.50</w:t>
            </w:r>
          </w:p>
        </w:tc>
      </w:tr>
      <w:tr w:rsidR="003402CE" w:rsidRPr="003402CE" w14:paraId="35AAA25C" w14:textId="77777777" w:rsidTr="003402CE">
        <w:tc>
          <w:tcPr>
            <w:tcW w:w="2410" w:type="dxa"/>
          </w:tcPr>
          <w:p w14:paraId="48440DBE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75D000EC" w14:textId="22E61B2D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with no CSC</w:t>
            </w:r>
          </w:p>
        </w:tc>
        <w:tc>
          <w:tcPr>
            <w:tcW w:w="1984" w:type="dxa"/>
          </w:tcPr>
          <w:p w14:paraId="47C041D7" w14:textId="08724AED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$19.50</w:t>
            </w:r>
          </w:p>
        </w:tc>
      </w:tr>
      <w:tr w:rsidR="003402CE" w:rsidRPr="003402CE" w14:paraId="4AC60A26" w14:textId="77777777" w:rsidTr="003402CE">
        <w:tc>
          <w:tcPr>
            <w:tcW w:w="2410" w:type="dxa"/>
          </w:tcPr>
          <w:p w14:paraId="6E23614F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5E591540" w14:textId="46E3B38A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Non-Residents</w:t>
            </w:r>
          </w:p>
        </w:tc>
        <w:tc>
          <w:tcPr>
            <w:tcW w:w="1984" w:type="dxa"/>
          </w:tcPr>
          <w:p w14:paraId="1A911457" w14:textId="0C33209C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$84.00</w:t>
            </w:r>
          </w:p>
        </w:tc>
      </w:tr>
      <w:tr w:rsidR="003402CE" w:rsidRPr="003402CE" w14:paraId="1D906F7E" w14:textId="77777777" w:rsidTr="003402CE">
        <w:tc>
          <w:tcPr>
            <w:tcW w:w="2410" w:type="dxa"/>
          </w:tcPr>
          <w:p w14:paraId="2A8024A7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110AF423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1984" w:type="dxa"/>
          </w:tcPr>
          <w:p w14:paraId="6C44918B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</w:tr>
      <w:tr w:rsidR="003402CE" w:rsidRPr="003402CE" w14:paraId="74B0C82A" w14:textId="77777777" w:rsidTr="003402CE">
        <w:tc>
          <w:tcPr>
            <w:tcW w:w="2410" w:type="dxa"/>
          </w:tcPr>
          <w:p w14:paraId="49120120" w14:textId="07870B85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>14 – 17 years</w:t>
            </w:r>
          </w:p>
        </w:tc>
        <w:tc>
          <w:tcPr>
            <w:tcW w:w="5949" w:type="dxa"/>
          </w:tcPr>
          <w:p w14:paraId="52C205FC" w14:textId="222E5FDC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no CSC</w:t>
            </w:r>
          </w:p>
        </w:tc>
        <w:tc>
          <w:tcPr>
            <w:tcW w:w="1984" w:type="dxa"/>
            <w:shd w:val="clear" w:color="auto" w:fill="auto"/>
          </w:tcPr>
          <w:p w14:paraId="786C7AD2" w14:textId="64014C10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$32.00</w:t>
            </w:r>
          </w:p>
        </w:tc>
      </w:tr>
      <w:tr w:rsidR="003402CE" w:rsidRPr="003402CE" w14:paraId="05AEA705" w14:textId="77777777" w:rsidTr="003402CE">
        <w:tc>
          <w:tcPr>
            <w:tcW w:w="2410" w:type="dxa"/>
          </w:tcPr>
          <w:p w14:paraId="3CFBF974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299DBD45" w14:textId="08927FF4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with CSC</w:t>
            </w:r>
          </w:p>
        </w:tc>
        <w:tc>
          <w:tcPr>
            <w:tcW w:w="1984" w:type="dxa"/>
          </w:tcPr>
          <w:p w14:paraId="2372C9A6" w14:textId="0C205411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$13.00</w:t>
            </w:r>
          </w:p>
        </w:tc>
      </w:tr>
      <w:tr w:rsidR="003402CE" w:rsidRPr="003402CE" w14:paraId="2BB75A3D" w14:textId="77777777" w:rsidTr="003402CE">
        <w:tc>
          <w:tcPr>
            <w:tcW w:w="2410" w:type="dxa"/>
          </w:tcPr>
          <w:p w14:paraId="184A29C2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7030C121" w14:textId="44389706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with CSC</w:t>
            </w:r>
          </w:p>
        </w:tc>
        <w:tc>
          <w:tcPr>
            <w:tcW w:w="1984" w:type="dxa"/>
          </w:tcPr>
          <w:p w14:paraId="196DFE09" w14:textId="2BC9A5FB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$38.00</w:t>
            </w:r>
          </w:p>
        </w:tc>
      </w:tr>
      <w:tr w:rsidR="003402CE" w:rsidRPr="003402CE" w14:paraId="497DD688" w14:textId="77777777" w:rsidTr="003402CE">
        <w:tc>
          <w:tcPr>
            <w:tcW w:w="2410" w:type="dxa"/>
          </w:tcPr>
          <w:p w14:paraId="340DAE21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0BDDE4E9" w14:textId="7784C25E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no CSC</w:t>
            </w:r>
          </w:p>
        </w:tc>
        <w:tc>
          <w:tcPr>
            <w:tcW w:w="1984" w:type="dxa"/>
          </w:tcPr>
          <w:p w14:paraId="5AA3659B" w14:textId="44B1410E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$41.00</w:t>
            </w:r>
          </w:p>
        </w:tc>
      </w:tr>
      <w:tr w:rsidR="003402CE" w:rsidRPr="003402CE" w14:paraId="03DA9A34" w14:textId="77777777" w:rsidTr="003402CE">
        <w:tc>
          <w:tcPr>
            <w:tcW w:w="2410" w:type="dxa"/>
          </w:tcPr>
          <w:p w14:paraId="7B9BF678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294B5C58" w14:textId="126F15A7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Non-Residents</w:t>
            </w:r>
          </w:p>
        </w:tc>
        <w:tc>
          <w:tcPr>
            <w:tcW w:w="1984" w:type="dxa"/>
          </w:tcPr>
          <w:p w14:paraId="4B227475" w14:textId="57DB3C7B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$84.00</w:t>
            </w:r>
          </w:p>
        </w:tc>
      </w:tr>
      <w:tr w:rsidR="003402CE" w:rsidRPr="003402CE" w14:paraId="367CF021" w14:textId="77777777" w:rsidTr="003402CE">
        <w:tc>
          <w:tcPr>
            <w:tcW w:w="2410" w:type="dxa"/>
          </w:tcPr>
          <w:p w14:paraId="5D221B23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0077FE56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1984" w:type="dxa"/>
          </w:tcPr>
          <w:p w14:paraId="1664DCF2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</w:tr>
      <w:tr w:rsidR="003402CE" w:rsidRPr="003402CE" w14:paraId="20C34A88" w14:textId="77777777" w:rsidTr="003402CE">
        <w:tc>
          <w:tcPr>
            <w:tcW w:w="2410" w:type="dxa"/>
          </w:tcPr>
          <w:p w14:paraId="443AD5FD" w14:textId="6635CC13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 xml:space="preserve">Adult </w:t>
            </w:r>
          </w:p>
        </w:tc>
        <w:tc>
          <w:tcPr>
            <w:tcW w:w="5949" w:type="dxa"/>
          </w:tcPr>
          <w:p w14:paraId="20302580" w14:textId="71EAD1F2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no CSC</w:t>
            </w:r>
          </w:p>
        </w:tc>
        <w:tc>
          <w:tcPr>
            <w:tcW w:w="1984" w:type="dxa"/>
            <w:shd w:val="clear" w:color="auto" w:fill="auto"/>
          </w:tcPr>
          <w:p w14:paraId="721B6A20" w14:textId="61AAC502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$47.00</w:t>
            </w:r>
          </w:p>
        </w:tc>
      </w:tr>
      <w:tr w:rsidR="003402CE" w:rsidRPr="003402CE" w14:paraId="6A6627ED" w14:textId="77777777" w:rsidTr="003402CE">
        <w:tc>
          <w:tcPr>
            <w:tcW w:w="2410" w:type="dxa"/>
          </w:tcPr>
          <w:p w14:paraId="5844307C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4B04E909" w14:textId="4D2B3A9E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with CSC</w:t>
            </w:r>
          </w:p>
        </w:tc>
        <w:tc>
          <w:tcPr>
            <w:tcW w:w="1984" w:type="dxa"/>
          </w:tcPr>
          <w:p w14:paraId="166CE3A6" w14:textId="4CB2E162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$19.50</w:t>
            </w:r>
          </w:p>
        </w:tc>
      </w:tr>
      <w:tr w:rsidR="003402CE" w:rsidRPr="003402CE" w14:paraId="1B669643" w14:textId="77777777" w:rsidTr="003402CE">
        <w:tc>
          <w:tcPr>
            <w:tcW w:w="2410" w:type="dxa"/>
          </w:tcPr>
          <w:p w14:paraId="6C169A05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3A1F9360" w14:textId="5614E378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with CSC</w:t>
            </w:r>
          </w:p>
        </w:tc>
        <w:tc>
          <w:tcPr>
            <w:tcW w:w="1984" w:type="dxa"/>
            <w:shd w:val="clear" w:color="auto" w:fill="auto"/>
          </w:tcPr>
          <w:p w14:paraId="68659088" w14:textId="5DB3CF8D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</w:t>
            </w:r>
            <w:r w:rsidR="006912D4" w:rsidRPr="003402CE">
              <w:rPr>
                <w:color w:val="156082" w:themeColor="accent1"/>
                <w:sz w:val="24"/>
                <w:szCs w:val="24"/>
                <w:lang w:val="en-NZ"/>
              </w:rPr>
              <w:t>42.00</w:t>
            </w:r>
          </w:p>
        </w:tc>
      </w:tr>
      <w:tr w:rsidR="003402CE" w:rsidRPr="003402CE" w14:paraId="12246638" w14:textId="77777777" w:rsidTr="003402CE">
        <w:tc>
          <w:tcPr>
            <w:tcW w:w="2410" w:type="dxa"/>
          </w:tcPr>
          <w:p w14:paraId="7ECE0172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401A6D72" w14:textId="680E8E71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no CSC</w:t>
            </w:r>
          </w:p>
        </w:tc>
        <w:tc>
          <w:tcPr>
            <w:tcW w:w="1984" w:type="dxa"/>
            <w:shd w:val="clear" w:color="auto" w:fill="auto"/>
          </w:tcPr>
          <w:p w14:paraId="50E59225" w14:textId="6C95BE68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</w:t>
            </w:r>
            <w:r w:rsidR="00653760">
              <w:rPr>
                <w:color w:val="156082" w:themeColor="accent1"/>
                <w:sz w:val="24"/>
                <w:szCs w:val="24"/>
                <w:lang w:val="en-NZ"/>
              </w:rPr>
              <w:t>56.00</w:t>
            </w:r>
          </w:p>
        </w:tc>
      </w:tr>
      <w:tr w:rsidR="003402CE" w:rsidRPr="003402CE" w14:paraId="43D354D5" w14:textId="77777777" w:rsidTr="003402CE">
        <w:tc>
          <w:tcPr>
            <w:tcW w:w="2410" w:type="dxa"/>
          </w:tcPr>
          <w:p w14:paraId="19721E7B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4A0807A2" w14:textId="48FEF3F1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Non-Residents</w:t>
            </w:r>
          </w:p>
        </w:tc>
        <w:tc>
          <w:tcPr>
            <w:tcW w:w="1984" w:type="dxa"/>
            <w:shd w:val="clear" w:color="auto" w:fill="auto"/>
          </w:tcPr>
          <w:p w14:paraId="3119BF79" w14:textId="7126530C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$84.00</w:t>
            </w:r>
          </w:p>
        </w:tc>
      </w:tr>
      <w:tr w:rsidR="003402CE" w:rsidRPr="003402CE" w14:paraId="78F8E32A" w14:textId="77777777" w:rsidTr="003402CE">
        <w:tc>
          <w:tcPr>
            <w:tcW w:w="2410" w:type="dxa"/>
          </w:tcPr>
          <w:p w14:paraId="1D6A3AFC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0F659397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1984" w:type="dxa"/>
          </w:tcPr>
          <w:p w14:paraId="46DBCA9E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</w:tr>
      <w:tr w:rsidR="003402CE" w:rsidRPr="003402CE" w14:paraId="5CE7695F" w14:textId="77777777" w:rsidTr="003402CE">
        <w:tc>
          <w:tcPr>
            <w:tcW w:w="2410" w:type="dxa"/>
          </w:tcPr>
          <w:p w14:paraId="7F2FC54E" w14:textId="2DC4F304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>ACC &lt; 14 Years</w:t>
            </w:r>
          </w:p>
        </w:tc>
        <w:tc>
          <w:tcPr>
            <w:tcW w:w="5949" w:type="dxa"/>
          </w:tcPr>
          <w:p w14:paraId="66B135B3" w14:textId="3149D9D1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</w:t>
            </w:r>
          </w:p>
        </w:tc>
        <w:tc>
          <w:tcPr>
            <w:tcW w:w="1984" w:type="dxa"/>
          </w:tcPr>
          <w:p w14:paraId="3765F150" w14:textId="3D22400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No </w:t>
            </w:r>
            <w:r w:rsidR="002E7E3B">
              <w:rPr>
                <w:color w:val="156082" w:themeColor="accent1"/>
                <w:sz w:val="24"/>
                <w:szCs w:val="24"/>
                <w:lang w:val="en-NZ"/>
              </w:rPr>
              <w:t>c</w:t>
            </w: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harge</w:t>
            </w:r>
          </w:p>
        </w:tc>
      </w:tr>
      <w:tr w:rsidR="003402CE" w:rsidRPr="003402CE" w14:paraId="3AB7F7BE" w14:textId="77777777" w:rsidTr="003402CE">
        <w:tc>
          <w:tcPr>
            <w:tcW w:w="2410" w:type="dxa"/>
          </w:tcPr>
          <w:p w14:paraId="0EAC393A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001C2A09" w14:textId="18F4FF0D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with CSC</w:t>
            </w:r>
          </w:p>
        </w:tc>
        <w:tc>
          <w:tcPr>
            <w:tcW w:w="1984" w:type="dxa"/>
            <w:shd w:val="clear" w:color="auto" w:fill="auto"/>
          </w:tcPr>
          <w:p w14:paraId="53854514" w14:textId="4A67192B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$34.00</w:t>
            </w:r>
          </w:p>
        </w:tc>
      </w:tr>
      <w:tr w:rsidR="003402CE" w:rsidRPr="003402CE" w14:paraId="18208FD5" w14:textId="77777777" w:rsidTr="003402CE">
        <w:tc>
          <w:tcPr>
            <w:tcW w:w="2410" w:type="dxa"/>
          </w:tcPr>
          <w:p w14:paraId="3EA81654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516D7A58" w14:textId="59085466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757C36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no CSC</w:t>
            </w:r>
          </w:p>
        </w:tc>
        <w:tc>
          <w:tcPr>
            <w:tcW w:w="1984" w:type="dxa"/>
            <w:shd w:val="clear" w:color="auto" w:fill="auto"/>
          </w:tcPr>
          <w:p w14:paraId="6FFB5609" w14:textId="09E15F13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$34.00</w:t>
            </w:r>
          </w:p>
        </w:tc>
      </w:tr>
      <w:tr w:rsidR="003402CE" w:rsidRPr="003402CE" w14:paraId="52B8280C" w14:textId="77777777" w:rsidTr="003402CE">
        <w:tc>
          <w:tcPr>
            <w:tcW w:w="2410" w:type="dxa"/>
          </w:tcPr>
          <w:p w14:paraId="343A9BE5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477B7EE7" w14:textId="5F627E6D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Non-Residents</w:t>
            </w:r>
          </w:p>
        </w:tc>
        <w:tc>
          <w:tcPr>
            <w:tcW w:w="1984" w:type="dxa"/>
            <w:shd w:val="clear" w:color="auto" w:fill="auto"/>
          </w:tcPr>
          <w:p w14:paraId="67C02E2B" w14:textId="2B483322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$84.00</w:t>
            </w:r>
          </w:p>
        </w:tc>
      </w:tr>
      <w:tr w:rsidR="003402CE" w:rsidRPr="003402CE" w14:paraId="00753D12" w14:textId="77777777" w:rsidTr="003402CE">
        <w:tc>
          <w:tcPr>
            <w:tcW w:w="2410" w:type="dxa"/>
          </w:tcPr>
          <w:p w14:paraId="7DE53AEF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5E12D636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1984" w:type="dxa"/>
            <w:shd w:val="clear" w:color="auto" w:fill="auto"/>
          </w:tcPr>
          <w:p w14:paraId="13B0CB55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</w:tr>
      <w:tr w:rsidR="003402CE" w:rsidRPr="003402CE" w14:paraId="05A0C5AB" w14:textId="77777777" w:rsidTr="003402CE">
        <w:tc>
          <w:tcPr>
            <w:tcW w:w="2410" w:type="dxa"/>
          </w:tcPr>
          <w:p w14:paraId="2CB49011" w14:textId="71585864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 xml:space="preserve">ACC </w:t>
            </w:r>
            <w:r w:rsidR="006912D4"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>14 – 17 years</w:t>
            </w:r>
          </w:p>
        </w:tc>
        <w:tc>
          <w:tcPr>
            <w:tcW w:w="5949" w:type="dxa"/>
          </w:tcPr>
          <w:p w14:paraId="26079C51" w14:textId="22233EF7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no CSC</w:t>
            </w:r>
          </w:p>
        </w:tc>
        <w:tc>
          <w:tcPr>
            <w:tcW w:w="1984" w:type="dxa"/>
            <w:shd w:val="clear" w:color="auto" w:fill="auto"/>
          </w:tcPr>
          <w:p w14:paraId="0D04A0FD" w14:textId="47377684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$26.00</w:t>
            </w:r>
          </w:p>
        </w:tc>
      </w:tr>
      <w:tr w:rsidR="003402CE" w:rsidRPr="003402CE" w14:paraId="670EB7D5" w14:textId="77777777" w:rsidTr="003402CE">
        <w:tc>
          <w:tcPr>
            <w:tcW w:w="2410" w:type="dxa"/>
          </w:tcPr>
          <w:p w14:paraId="03CBF25A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421D0B86" w14:textId="7555502B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with CSC</w:t>
            </w:r>
          </w:p>
        </w:tc>
        <w:tc>
          <w:tcPr>
            <w:tcW w:w="1984" w:type="dxa"/>
            <w:shd w:val="clear" w:color="auto" w:fill="auto"/>
          </w:tcPr>
          <w:p w14:paraId="6F4FE4F0" w14:textId="11C250B4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$13.00</w:t>
            </w:r>
          </w:p>
        </w:tc>
      </w:tr>
      <w:tr w:rsidR="003402CE" w:rsidRPr="003402CE" w14:paraId="631724E7" w14:textId="77777777" w:rsidTr="003402CE">
        <w:tc>
          <w:tcPr>
            <w:tcW w:w="2410" w:type="dxa"/>
          </w:tcPr>
          <w:p w14:paraId="1F74A116" w14:textId="77777777" w:rsidR="006912D4" w:rsidRPr="003402CE" w:rsidRDefault="006912D4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58547DF7" w14:textId="67969526" w:rsidR="006912D4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6912D4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with CSC</w:t>
            </w:r>
          </w:p>
        </w:tc>
        <w:tc>
          <w:tcPr>
            <w:tcW w:w="1984" w:type="dxa"/>
            <w:shd w:val="clear" w:color="auto" w:fill="auto"/>
          </w:tcPr>
          <w:p w14:paraId="3C7156AE" w14:textId="6ACD8450" w:rsidR="006912D4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$36.00</w:t>
            </w:r>
          </w:p>
        </w:tc>
      </w:tr>
      <w:tr w:rsidR="003402CE" w:rsidRPr="003402CE" w14:paraId="32AD568D" w14:textId="77777777" w:rsidTr="003402CE">
        <w:tc>
          <w:tcPr>
            <w:tcW w:w="2410" w:type="dxa"/>
          </w:tcPr>
          <w:p w14:paraId="415F8C29" w14:textId="77777777" w:rsidR="006912D4" w:rsidRPr="003402CE" w:rsidRDefault="006912D4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0990C622" w14:textId="62889085" w:rsidR="006912D4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6912D4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no CSC</w:t>
            </w:r>
          </w:p>
        </w:tc>
        <w:tc>
          <w:tcPr>
            <w:tcW w:w="1984" w:type="dxa"/>
            <w:shd w:val="clear" w:color="auto" w:fill="auto"/>
          </w:tcPr>
          <w:p w14:paraId="120DB389" w14:textId="1C96965E" w:rsidR="006912D4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$36.00</w:t>
            </w:r>
          </w:p>
        </w:tc>
      </w:tr>
      <w:tr w:rsidR="003402CE" w:rsidRPr="003402CE" w14:paraId="7A5AA482" w14:textId="77777777" w:rsidTr="003402CE">
        <w:tc>
          <w:tcPr>
            <w:tcW w:w="2410" w:type="dxa"/>
          </w:tcPr>
          <w:p w14:paraId="3AAF4EE8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7272DCAA" w14:textId="7481F933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Non-Residents</w:t>
            </w:r>
          </w:p>
        </w:tc>
        <w:tc>
          <w:tcPr>
            <w:tcW w:w="1984" w:type="dxa"/>
            <w:shd w:val="clear" w:color="auto" w:fill="auto"/>
          </w:tcPr>
          <w:p w14:paraId="3B88636A" w14:textId="2A3321D9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$84.00</w:t>
            </w:r>
          </w:p>
        </w:tc>
      </w:tr>
      <w:tr w:rsidR="003402CE" w:rsidRPr="003402CE" w14:paraId="51C30D4D" w14:textId="77777777" w:rsidTr="003402CE">
        <w:tc>
          <w:tcPr>
            <w:tcW w:w="2410" w:type="dxa"/>
          </w:tcPr>
          <w:p w14:paraId="0266089D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1F652C67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1984" w:type="dxa"/>
            <w:shd w:val="clear" w:color="auto" w:fill="auto"/>
          </w:tcPr>
          <w:p w14:paraId="07653C32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</w:tr>
      <w:tr w:rsidR="003402CE" w:rsidRPr="003402CE" w14:paraId="4CAC4C7F" w14:textId="77777777" w:rsidTr="003402CE">
        <w:tc>
          <w:tcPr>
            <w:tcW w:w="2410" w:type="dxa"/>
          </w:tcPr>
          <w:p w14:paraId="699A0057" w14:textId="1233EE1C" w:rsidR="00757C36" w:rsidRPr="003402CE" w:rsidRDefault="006912D4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>ACC Adult</w:t>
            </w:r>
          </w:p>
        </w:tc>
        <w:tc>
          <w:tcPr>
            <w:tcW w:w="5949" w:type="dxa"/>
          </w:tcPr>
          <w:p w14:paraId="540BF1C1" w14:textId="5F43EC7D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no CSC</w:t>
            </w:r>
          </w:p>
        </w:tc>
        <w:tc>
          <w:tcPr>
            <w:tcW w:w="1984" w:type="dxa"/>
            <w:shd w:val="clear" w:color="auto" w:fill="auto"/>
          </w:tcPr>
          <w:p w14:paraId="69466562" w14:textId="0264EEA6" w:rsidR="00757C36" w:rsidRPr="003402CE" w:rsidRDefault="00E83A18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$47.00</w:t>
            </w:r>
          </w:p>
        </w:tc>
      </w:tr>
      <w:tr w:rsidR="003402CE" w:rsidRPr="003402CE" w14:paraId="607E3BE1" w14:textId="77777777" w:rsidTr="003402CE">
        <w:tc>
          <w:tcPr>
            <w:tcW w:w="2410" w:type="dxa"/>
          </w:tcPr>
          <w:p w14:paraId="08FF938F" w14:textId="77777777" w:rsidR="00757C36" w:rsidRPr="003402CE" w:rsidRDefault="00757C36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4FCC8C3F" w14:textId="51460165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Enrolled Patients with CSC</w:t>
            </w:r>
          </w:p>
        </w:tc>
        <w:tc>
          <w:tcPr>
            <w:tcW w:w="1984" w:type="dxa"/>
            <w:shd w:val="clear" w:color="auto" w:fill="auto"/>
          </w:tcPr>
          <w:p w14:paraId="752D28AC" w14:textId="6B10DAEB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$19.50</w:t>
            </w:r>
          </w:p>
        </w:tc>
      </w:tr>
      <w:tr w:rsidR="003402CE" w:rsidRPr="003402CE" w14:paraId="676832C4" w14:textId="77777777" w:rsidTr="003402CE">
        <w:tc>
          <w:tcPr>
            <w:tcW w:w="2410" w:type="dxa"/>
          </w:tcPr>
          <w:p w14:paraId="65CC0811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  <w:shd w:val="clear" w:color="auto" w:fill="auto"/>
          </w:tcPr>
          <w:p w14:paraId="5F5E7281" w14:textId="352A4BFA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6912D4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with CSC</w:t>
            </w:r>
          </w:p>
        </w:tc>
        <w:tc>
          <w:tcPr>
            <w:tcW w:w="1984" w:type="dxa"/>
            <w:shd w:val="clear" w:color="auto" w:fill="auto"/>
          </w:tcPr>
          <w:p w14:paraId="455BA225" w14:textId="7A57F645" w:rsidR="00757C36" w:rsidRPr="003402CE" w:rsidRDefault="00E83A18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</w:t>
            </w:r>
            <w:r w:rsidR="00653760">
              <w:rPr>
                <w:color w:val="156082" w:themeColor="accent1"/>
                <w:sz w:val="24"/>
                <w:szCs w:val="24"/>
                <w:lang w:val="en-NZ"/>
              </w:rPr>
              <w:t>36.00</w:t>
            </w:r>
          </w:p>
        </w:tc>
      </w:tr>
      <w:tr w:rsidR="003402CE" w:rsidRPr="003402CE" w14:paraId="77F971DB" w14:textId="77777777" w:rsidTr="003402CE">
        <w:tc>
          <w:tcPr>
            <w:tcW w:w="2410" w:type="dxa"/>
          </w:tcPr>
          <w:p w14:paraId="2370746D" w14:textId="77777777" w:rsidR="00757C36" w:rsidRPr="003402CE" w:rsidRDefault="00757C36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2C2F50AA" w14:textId="61D56D12" w:rsidR="00757C36" w:rsidRPr="003402CE" w:rsidRDefault="0028789B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Non-Enrolled</w:t>
            </w:r>
            <w:r w:rsidR="006912D4" w:rsidRPr="003402CE">
              <w:rPr>
                <w:color w:val="156082" w:themeColor="accent1"/>
                <w:sz w:val="24"/>
                <w:szCs w:val="24"/>
                <w:lang w:val="en-NZ"/>
              </w:rPr>
              <w:t xml:space="preserve"> Patients no CSC</w:t>
            </w:r>
          </w:p>
        </w:tc>
        <w:tc>
          <w:tcPr>
            <w:tcW w:w="1984" w:type="dxa"/>
            <w:shd w:val="clear" w:color="auto" w:fill="auto"/>
          </w:tcPr>
          <w:p w14:paraId="2E366625" w14:textId="7958FADA" w:rsidR="00757C36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</w:t>
            </w:r>
            <w:r w:rsidR="00653760">
              <w:rPr>
                <w:color w:val="156082" w:themeColor="accent1"/>
                <w:sz w:val="24"/>
                <w:szCs w:val="24"/>
                <w:lang w:val="en-NZ"/>
              </w:rPr>
              <w:t>36.00</w:t>
            </w:r>
          </w:p>
        </w:tc>
      </w:tr>
      <w:tr w:rsidR="003402CE" w:rsidRPr="003402CE" w14:paraId="2A8DF803" w14:textId="77777777" w:rsidTr="003402CE">
        <w:tc>
          <w:tcPr>
            <w:tcW w:w="2410" w:type="dxa"/>
          </w:tcPr>
          <w:p w14:paraId="4755254A" w14:textId="77777777" w:rsidR="006912D4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28846F83" w14:textId="01039F8F" w:rsidR="006912D4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No Residents</w:t>
            </w:r>
          </w:p>
        </w:tc>
        <w:tc>
          <w:tcPr>
            <w:tcW w:w="1984" w:type="dxa"/>
            <w:shd w:val="clear" w:color="auto" w:fill="auto"/>
          </w:tcPr>
          <w:p w14:paraId="7BB6B014" w14:textId="28AFD3A2" w:rsidR="006912D4" w:rsidRPr="003402CE" w:rsidRDefault="006912D4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$84.00</w:t>
            </w:r>
          </w:p>
        </w:tc>
      </w:tr>
      <w:tr w:rsidR="003402CE" w:rsidRPr="003402CE" w14:paraId="255937BA" w14:textId="77777777" w:rsidTr="003402CE">
        <w:tc>
          <w:tcPr>
            <w:tcW w:w="2410" w:type="dxa"/>
          </w:tcPr>
          <w:p w14:paraId="101604AC" w14:textId="77777777" w:rsidR="002C63B1" w:rsidRPr="003402CE" w:rsidRDefault="002C63B1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5949" w:type="dxa"/>
          </w:tcPr>
          <w:p w14:paraId="37BDEABD" w14:textId="77777777" w:rsidR="002C63B1" w:rsidRPr="003402CE" w:rsidRDefault="002C63B1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  <w:tc>
          <w:tcPr>
            <w:tcW w:w="1984" w:type="dxa"/>
          </w:tcPr>
          <w:p w14:paraId="0BE32D9B" w14:textId="77777777" w:rsidR="002C63B1" w:rsidRPr="003402CE" w:rsidRDefault="002C63B1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</w:p>
        </w:tc>
      </w:tr>
      <w:tr w:rsidR="003402CE" w:rsidRPr="003402CE" w14:paraId="77D737FC" w14:textId="77777777" w:rsidTr="003402CE">
        <w:tc>
          <w:tcPr>
            <w:tcW w:w="2410" w:type="dxa"/>
          </w:tcPr>
          <w:p w14:paraId="52A3136C" w14:textId="3FD30328" w:rsidR="002C63B1" w:rsidRPr="003402CE" w:rsidRDefault="002C63B1" w:rsidP="003402CE">
            <w:pPr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b/>
                <w:bCs/>
                <w:color w:val="156082" w:themeColor="accent1"/>
                <w:sz w:val="24"/>
                <w:szCs w:val="24"/>
                <w:lang w:val="en-NZ"/>
              </w:rPr>
              <w:t>Script Requests</w:t>
            </w:r>
          </w:p>
        </w:tc>
        <w:tc>
          <w:tcPr>
            <w:tcW w:w="5949" w:type="dxa"/>
          </w:tcPr>
          <w:p w14:paraId="552CFCF6" w14:textId="4A4C36F5" w:rsidR="002C63B1" w:rsidRPr="003402CE" w:rsidRDefault="002C63B1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Within 48 Hours</w:t>
            </w:r>
          </w:p>
        </w:tc>
        <w:tc>
          <w:tcPr>
            <w:tcW w:w="1984" w:type="dxa"/>
          </w:tcPr>
          <w:p w14:paraId="39F14455" w14:textId="1E480CD8" w:rsidR="002C63B1" w:rsidRPr="003402CE" w:rsidRDefault="002C63B1" w:rsidP="003402CE">
            <w:pPr>
              <w:rPr>
                <w:color w:val="156082" w:themeColor="accent1"/>
                <w:sz w:val="24"/>
                <w:szCs w:val="24"/>
                <w:lang w:val="en-NZ"/>
              </w:rPr>
            </w:pPr>
            <w:r w:rsidRPr="003402CE">
              <w:rPr>
                <w:color w:val="156082" w:themeColor="accent1"/>
                <w:sz w:val="24"/>
                <w:szCs w:val="24"/>
                <w:lang w:val="en-NZ"/>
              </w:rPr>
              <w:t>$20.00</w:t>
            </w:r>
          </w:p>
        </w:tc>
      </w:tr>
    </w:tbl>
    <w:p w14:paraId="7A63D6F2" w14:textId="77777777" w:rsidR="00757C36" w:rsidRPr="003402CE" w:rsidRDefault="00757C36" w:rsidP="003402CE">
      <w:pPr>
        <w:rPr>
          <w:color w:val="156082" w:themeColor="accent1"/>
          <w:sz w:val="24"/>
          <w:szCs w:val="24"/>
          <w:lang w:val="en-NZ"/>
        </w:rPr>
      </w:pPr>
    </w:p>
    <w:p w14:paraId="51C39B1C" w14:textId="16739CFF" w:rsidR="006912D4" w:rsidRPr="003402CE" w:rsidRDefault="006912D4" w:rsidP="003402CE">
      <w:pPr>
        <w:rPr>
          <w:b/>
          <w:bCs/>
          <w:color w:val="156082" w:themeColor="accent1"/>
          <w:sz w:val="24"/>
          <w:szCs w:val="24"/>
          <w:lang w:val="en-NZ"/>
        </w:rPr>
      </w:pPr>
      <w:r w:rsidRPr="003402CE">
        <w:rPr>
          <w:b/>
          <w:bCs/>
          <w:color w:val="156082" w:themeColor="accent1"/>
          <w:sz w:val="24"/>
          <w:szCs w:val="24"/>
          <w:lang w:val="en-NZ"/>
        </w:rPr>
        <w:t>CSC = Community Services Car</w:t>
      </w:r>
      <w:r w:rsidR="00E83A18" w:rsidRPr="003402CE">
        <w:rPr>
          <w:b/>
          <w:bCs/>
          <w:color w:val="156082" w:themeColor="accent1"/>
          <w:sz w:val="24"/>
          <w:szCs w:val="24"/>
          <w:lang w:val="en-NZ"/>
        </w:rPr>
        <w:t>d</w:t>
      </w:r>
    </w:p>
    <w:p w14:paraId="1B99BA48" w14:textId="3DE22331" w:rsidR="006912D4" w:rsidRPr="003402CE" w:rsidRDefault="00E83A18" w:rsidP="003402CE">
      <w:pPr>
        <w:rPr>
          <w:color w:val="156082" w:themeColor="accent1"/>
          <w:sz w:val="24"/>
          <w:szCs w:val="24"/>
          <w:lang w:val="en-NZ"/>
        </w:rPr>
      </w:pPr>
      <w:r w:rsidRPr="003402CE">
        <w:rPr>
          <w:color w:val="156082" w:themeColor="accent1"/>
          <w:sz w:val="24"/>
          <w:szCs w:val="24"/>
          <w:lang w:val="en-NZ"/>
        </w:rPr>
        <w:t xml:space="preserve">Ferry Road Medical Centre has a PAY ON THE DAY policy for ALL consultations.  Payment can be made in practice by EFTPOS, CASH or via DIRECT DEBIT bank payment. </w:t>
      </w:r>
    </w:p>
    <w:p w14:paraId="168D7F9E" w14:textId="738940B8" w:rsidR="00E83A18" w:rsidRDefault="00E83A18" w:rsidP="003402CE">
      <w:pPr>
        <w:rPr>
          <w:color w:val="156082" w:themeColor="accent1"/>
          <w:sz w:val="24"/>
          <w:szCs w:val="24"/>
          <w:lang w:val="en-NZ"/>
        </w:rPr>
      </w:pPr>
      <w:r w:rsidRPr="003402CE">
        <w:rPr>
          <w:color w:val="156082" w:themeColor="accent1"/>
          <w:sz w:val="24"/>
          <w:szCs w:val="24"/>
          <w:lang w:val="en-NZ"/>
        </w:rPr>
        <w:t>Bank account details:   02-1268-0037618-000</w:t>
      </w:r>
    </w:p>
    <w:sectPr w:rsidR="00E83A18" w:rsidSect="00E701F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B7873"/>
    <w:multiLevelType w:val="hybridMultilevel"/>
    <w:tmpl w:val="1CBA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0"/>
    <w:rsid w:val="000401F6"/>
    <w:rsid w:val="001A2620"/>
    <w:rsid w:val="0028789B"/>
    <w:rsid w:val="002C63B1"/>
    <w:rsid w:val="002E7E3B"/>
    <w:rsid w:val="003402CE"/>
    <w:rsid w:val="00405E93"/>
    <w:rsid w:val="004509B4"/>
    <w:rsid w:val="00471E9C"/>
    <w:rsid w:val="005C3745"/>
    <w:rsid w:val="00653760"/>
    <w:rsid w:val="006912D4"/>
    <w:rsid w:val="00757C36"/>
    <w:rsid w:val="007771ED"/>
    <w:rsid w:val="00884C7A"/>
    <w:rsid w:val="008A2A13"/>
    <w:rsid w:val="00B05315"/>
    <w:rsid w:val="00BA451A"/>
    <w:rsid w:val="00E46FB6"/>
    <w:rsid w:val="00E701F2"/>
    <w:rsid w:val="00E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619627B"/>
  <w15:chartTrackingRefBased/>
  <w15:docId w15:val="{EC8ED33A-D782-47CB-A544-72306980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admin@ferryrd.pegasus.net.nz</dc:creator>
  <cp:keywords/>
  <dc:description/>
  <cp:lastModifiedBy>admin@ferryrd.pegasus.net.nz</cp:lastModifiedBy>
  <cp:revision>8</cp:revision>
  <cp:lastPrinted>2024-06-06T22:08:00Z</cp:lastPrinted>
  <dcterms:created xsi:type="dcterms:W3CDTF">2024-05-28T02:13:00Z</dcterms:created>
  <dcterms:modified xsi:type="dcterms:W3CDTF">2024-06-06T22:49:00Z</dcterms:modified>
</cp:coreProperties>
</file>